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media/image1.png" ContentType="image/pn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Spacing"/>
        <w:spacing w:lineRule="auto" w:line="360"/>
        <w:jc w:val="center"/>
        <w:rPr>
          <w:rFonts w:ascii="Times New Roman" w:hAnsi="Times New Roman" w:cs="Times New Roman"/>
          <w:b/>
          <w:b/>
          <w:sz w:val="28"/>
          <w:szCs w:val="24"/>
        </w:rPr>
      </w:pPr>
      <w:r>
        <w:rPr>
          <w:rFonts w:cs="Times New Roman" w:ascii="Times New Roman" w:hAnsi="Times New Roman"/>
          <w:b/>
          <w:sz w:val="28"/>
          <w:szCs w:val="24"/>
        </w:rPr>
        <w:t>Отделение СФР по Кабардино-Балкарской Республике проиндексировало социальные пенсии более 22 тысяч жителей региона на 14,75%</w:t>
      </w:r>
    </w:p>
    <w:p>
      <w:pPr>
        <w:pStyle w:val="NoSpacing"/>
        <w:spacing w:lineRule="auto" w: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jc w:val="both"/>
        <w:rPr>
          <w:rFonts w:ascii="Times New Roman" w:hAnsi="Times New Roman" w:cs="Times New Roman"/>
          <w:i/>
          <w:i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ab/>
      </w:r>
      <w:r>
        <w:rPr>
          <w:rFonts w:cs="Times New Roman" w:ascii="Times New Roman" w:hAnsi="Times New Roman"/>
          <w:i/>
          <w:sz w:val="24"/>
          <w:szCs w:val="24"/>
        </w:rPr>
        <w:t>С 1 апреля жители Кабардино-Балкарской Республики, которым назначена пенсия по государственному социальному обеспечению, начали получать ее в повышенном размере. Региональное Отделение Соцфонда беззаявительно проиндексировало на 14,75% выплаты 22 120 пенсионеров. Данный вид пенсии назначается по возрасту, в связи с инвалидностью и по потере кормильца.</w:t>
      </w:r>
    </w:p>
    <w:p>
      <w:pPr>
        <w:pStyle w:val="NoSpacing"/>
        <w:spacing w:lineRule="auto" w: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ab/>
        <w:t xml:space="preserve">Получателями пенсии по государственному обеспечению являются граждане, которые в силу разных обстоятельств не имеют достаточного трудового стажа для получения страховой пенсии. Право на указанную пенсию имеют также граждане с инвалидностью </w:t>
      </w:r>
      <w:r>
        <w:rPr>
          <w:rFonts w:cs="Times New Roman" w:ascii="Times New Roman" w:hAnsi="Times New Roman"/>
          <w:sz w:val="24"/>
          <w:szCs w:val="24"/>
          <w:lang w:val="en-US"/>
        </w:rPr>
        <w:t>I</w:t>
      </w:r>
      <w:r>
        <w:rPr>
          <w:rFonts w:cs="Times New Roman" w:ascii="Times New Roman" w:hAnsi="Times New Roman"/>
          <w:sz w:val="24"/>
          <w:szCs w:val="24"/>
        </w:rPr>
        <w:t xml:space="preserve">, </w:t>
      </w:r>
      <w:r>
        <w:rPr>
          <w:rFonts w:cs="Times New Roman" w:ascii="Times New Roman" w:hAnsi="Times New Roman"/>
          <w:sz w:val="24"/>
          <w:szCs w:val="24"/>
          <w:lang w:val="en-US"/>
        </w:rPr>
        <w:t>II</w:t>
      </w:r>
      <w:r>
        <w:rPr>
          <w:rFonts w:cs="Times New Roman" w:ascii="Times New Roman" w:hAnsi="Times New Roman"/>
          <w:sz w:val="24"/>
          <w:szCs w:val="24"/>
        </w:rPr>
        <w:t xml:space="preserve"> и </w:t>
      </w:r>
      <w:r>
        <w:rPr>
          <w:rFonts w:cs="Times New Roman" w:ascii="Times New Roman" w:hAnsi="Times New Roman"/>
          <w:sz w:val="24"/>
          <w:szCs w:val="24"/>
          <w:lang w:val="en-US"/>
        </w:rPr>
        <w:t>III</w:t>
      </w:r>
      <w:r>
        <w:rPr>
          <w:rFonts w:cs="Times New Roman" w:ascii="Times New Roman" w:hAnsi="Times New Roman"/>
          <w:sz w:val="24"/>
          <w:szCs w:val="24"/>
        </w:rPr>
        <w:t xml:space="preserve"> группы, если на момент обращения за назначением полностью отсутствует страховой стаж. Социальная пенсия по инвалидности может быть назначена, в том числе, и детям.</w:t>
      </w:r>
    </w:p>
    <w:p>
      <w:pPr>
        <w:pStyle w:val="NoSpacing"/>
        <w:spacing w:lineRule="auto" w: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ab/>
        <w:t>Кроме того, социальная пенсия по случаю потери кормильца назначается детям до 18 лет, обучающимся по очной форме (до 23 лет), потерявшим одного или обоих родителей и детям-сиротам.</w:t>
      </w:r>
    </w:p>
    <w:p>
      <w:pPr>
        <w:pStyle w:val="NoSpacing"/>
        <w:spacing w:lineRule="auto" w: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Вместе с пенсией по государственному социальному обеспечению были проиндексированы пенсии:</w:t>
      </w:r>
    </w:p>
    <w:p>
      <w:pPr>
        <w:pStyle w:val="NoSpacing"/>
        <w:spacing w:lineRule="auto" w: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ab/>
        <w:t>- участников Великой Отечественной войны и граждан, награжденных знаком «Житель блокадного Ленинграда»;</w:t>
      </w:r>
    </w:p>
    <w:p>
      <w:pPr>
        <w:pStyle w:val="NoSpacing"/>
        <w:spacing w:lineRule="auto" w: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ab/>
        <w:t>- военнослужащих, проходивших военную службу по призыву и членов их семей, граждан, пребывавших в добровольческих формированиях;</w:t>
      </w:r>
    </w:p>
    <w:p>
      <w:pPr>
        <w:pStyle w:val="NoSpacing"/>
        <w:spacing w:lineRule="auto" w: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ab/>
        <w:t>- граждан, пострадавших в результате радиационных или техногенных катастроф, и членов их семей.</w:t>
      </w:r>
    </w:p>
    <w:p>
      <w:pPr>
        <w:pStyle w:val="NoSpacing"/>
        <w:spacing w:lineRule="auto" w: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ab/>
      </w:r>
    </w:p>
    <w:p>
      <w:pPr>
        <w:pStyle w:val="NoSpacing"/>
        <w:spacing w:lineRule="auto" w: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ab/>
        <w:t>Проиндексированные пенсии  начали поступать в соответствии с графиком выплаты организаций, осуществляющих доставку. Через банки выплата будет произведена 12 и 21 апреля. Получателям пенсии через Отделение почты России  — по установленному графику с 3 по 25 апреля.</w:t>
      </w:r>
    </w:p>
    <w:p>
      <w:pPr>
        <w:pStyle w:val="NoSpacing"/>
        <w:spacing w:lineRule="auto" w: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ab/>
        <w:t>Если у вас остались вопросы, вы  можете обратиться к специалистам единого контакт-центра, позвонив по номеру 8-800-1-00000-1 пн.-чт.: с 9.00 до 18.00, пт.: с 9:00 до 16:45 (без перерыва).</w:t>
      </w:r>
    </w:p>
    <w:p>
      <w:pPr>
        <w:pStyle w:val="NoSpacing"/>
        <w:spacing w:lineRule="auto" w: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Следите за новостями и читайте полезную информацию в официальных аккаунтах Отделения СФР по Кабардино-Балкарской Республике: </w:t>
      </w:r>
    </w:p>
    <w:p>
      <w:pPr>
        <w:pStyle w:val="NoSpacing"/>
        <w:spacing w:lineRule="auto" w:line="360"/>
        <w:ind w:firstLine="708"/>
        <w:jc w:val="both"/>
        <w:rPr/>
      </w:pPr>
      <w:r>
        <w:rPr>
          <w:rFonts w:cs="Times New Roman" w:ascii="Times New Roman" w:hAnsi="Times New Roman"/>
          <w:sz w:val="24"/>
          <w:szCs w:val="24"/>
        </w:rPr>
        <w:t xml:space="preserve">В ВК </w:t>
      </w:r>
      <w:hyperlink r:id="rId2">
        <w:r>
          <w:rPr>
            <w:rStyle w:val="Style11"/>
            <w:rFonts w:cs="Times New Roman" w:ascii="Times New Roman" w:hAnsi="Times New Roman"/>
            <w:sz w:val="24"/>
            <w:szCs w:val="24"/>
          </w:rPr>
          <w:t>vk.com/sfrpokbr</w:t>
        </w:r>
      </w:hyperlink>
    </w:p>
    <w:p>
      <w:pPr>
        <w:pStyle w:val="NoSpacing"/>
        <w:spacing w:lineRule="auto" w:line="360"/>
        <w:ind w:firstLine="708"/>
        <w:jc w:val="both"/>
        <w:rPr/>
      </w:pPr>
      <w:r>
        <w:rPr>
          <w:rFonts w:cs="Times New Roman" w:ascii="Times New Roman" w:hAnsi="Times New Roman"/>
          <w:sz w:val="24"/>
          <w:szCs w:val="24"/>
        </w:rPr>
        <w:t xml:space="preserve">В ОК </w:t>
      </w:r>
      <w:hyperlink r:id="rId3">
        <w:r>
          <w:rPr>
            <w:rStyle w:val="Style11"/>
            <w:rFonts w:cs="Times New Roman" w:ascii="Times New Roman" w:hAnsi="Times New Roman"/>
            <w:color w:val="00000A"/>
            <w:sz w:val="24"/>
            <w:szCs w:val="24"/>
            <w:u w:val="none"/>
          </w:rPr>
          <w:t>https://ok.ru/group/70000002358769</w:t>
        </w:r>
      </w:hyperlink>
      <w:r>
        <w:rPr>
          <w:rFonts w:cs="Times New Roman" w:ascii="Times New Roman" w:hAnsi="Times New Roman"/>
          <w:sz w:val="24"/>
          <w:szCs w:val="24"/>
        </w:rPr>
        <w:t xml:space="preserve"> </w:t>
      </w:r>
    </w:p>
    <w:p>
      <w:pPr>
        <w:pStyle w:val="NoSpacing"/>
        <w:spacing w:lineRule="auto" w:line="360"/>
        <w:ind w:firstLine="708"/>
        <w:jc w:val="both"/>
        <w:rPr/>
      </w:pPr>
      <w:r>
        <w:rPr>
          <w:rFonts w:cs="Times New Roman" w:ascii="Times New Roman" w:hAnsi="Times New Roman"/>
          <w:sz w:val="24"/>
          <w:szCs w:val="24"/>
        </w:rPr>
        <w:t xml:space="preserve">В ТГ </w:t>
      </w:r>
      <w:hyperlink r:id="rId4">
        <w:r>
          <w:rPr>
            <w:rStyle w:val="Style11"/>
            <w:rFonts w:cs="Times New Roman" w:ascii="Times New Roman" w:hAnsi="Times New Roman"/>
            <w:sz w:val="24"/>
            <w:szCs w:val="24"/>
          </w:rPr>
          <w:t>t.me/sfr_po_kbr_07</w:t>
        </w:r>
      </w:hyperlink>
    </w:p>
    <w:p>
      <w:pPr>
        <w:pStyle w:val="NoSpacing"/>
        <w:spacing w:lineRule="auto" w:line="360"/>
        <w:jc w:val="both"/>
        <w:rPr>
          <w:rFonts w:ascii="Times New Roman" w:hAnsi="Times New Roman" w:cs="Times New Roman"/>
          <w:i/>
          <w:i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br/>
      </w:r>
    </w:p>
    <w:p>
      <w:pPr>
        <w:pStyle w:val="NoSpacing"/>
        <w:spacing w:lineRule="auto" w:line="360"/>
        <w:jc w:val="right"/>
        <w:rPr>
          <w:rFonts w:ascii="Times New Roman" w:hAnsi="Times New Roman" w:cs="Times New Roman"/>
          <w:i/>
          <w:i/>
          <w:sz w:val="24"/>
          <w:szCs w:val="24"/>
        </w:rPr>
      </w:pPr>
      <w:r>
        <w:rPr>
          <w:rFonts w:cs="Times New Roman" w:ascii="Times New Roman" w:hAnsi="Times New Roman"/>
          <w:i/>
          <w:sz w:val="24"/>
          <w:szCs w:val="24"/>
        </w:rPr>
        <w:t>Материал подготовлен</w:t>
      </w:r>
    </w:p>
    <w:p>
      <w:pPr>
        <w:pStyle w:val="NoSpacing"/>
        <w:spacing w:lineRule="auto" w:line="360"/>
        <w:jc w:val="right"/>
        <w:rPr>
          <w:rFonts w:ascii="Times New Roman" w:hAnsi="Times New Roman" w:cs="Times New Roman"/>
          <w:i/>
          <w:i/>
          <w:sz w:val="24"/>
          <w:szCs w:val="24"/>
        </w:rPr>
      </w:pPr>
      <w:r>
        <w:rPr>
          <w:rFonts w:cs="Times New Roman" w:ascii="Times New Roman" w:hAnsi="Times New Roman"/>
          <w:i/>
          <w:sz w:val="24"/>
          <w:szCs w:val="24"/>
        </w:rPr>
        <w:t xml:space="preserve">Пресс-службой Отделения СФР по КБР </w:t>
      </w:r>
    </w:p>
    <w:p>
      <w:pPr>
        <w:pStyle w:val="NoSpacing"/>
        <w:spacing w:lineRule="auto" w:line="360"/>
        <w:jc w:val="right"/>
        <w:rPr/>
      </w:pPr>
      <w:r>
        <w:rPr>
          <w:rFonts w:cs="Times New Roman" w:ascii="Times New Roman" w:hAnsi="Times New Roman"/>
          <w:i/>
          <w:sz w:val="24"/>
          <w:szCs w:val="24"/>
          <w:lang w:val="en-US"/>
        </w:rPr>
        <w:t xml:space="preserve">Email: </w:t>
      </w:r>
      <w:hyperlink r:id="rId5">
        <w:r>
          <w:rPr>
            <w:rStyle w:val="Style11"/>
            <w:rFonts w:cs="Times New Roman" w:ascii="Times New Roman" w:hAnsi="Times New Roman"/>
            <w:i/>
            <w:color w:val="00000A"/>
            <w:sz w:val="24"/>
            <w:szCs w:val="24"/>
            <w:u w:val="none"/>
            <w:lang w:val="en-US"/>
          </w:rPr>
          <w:t>sfrkbr@07.sfr.gov.ru</w:t>
        </w:r>
      </w:hyperlink>
    </w:p>
    <w:p>
      <w:pPr>
        <w:pStyle w:val="NoSpacing"/>
        <w:spacing w:lineRule="auto" w:line="360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cs="Times New Roman" w:ascii="Times New Roman" w:hAnsi="Times New Roman"/>
          <w:sz w:val="24"/>
          <w:szCs w:val="24"/>
          <w:lang w:val="en-US"/>
        </w:rPr>
      </w:r>
    </w:p>
    <w:p>
      <w:pPr>
        <w:pStyle w:val="NoSpacing"/>
        <w:jc w:val="both"/>
        <w:rPr>
          <w:rFonts w:ascii="Times New Roman" w:hAnsi="Times New Roman" w:cs="Times New Roman"/>
          <w:b/>
          <w:b/>
          <w:sz w:val="24"/>
          <w:szCs w:val="24"/>
          <w:lang w:val="en-US"/>
        </w:rPr>
      </w:pPr>
      <w:r>
        <w:rPr>
          <w:rFonts w:cs="Times New Roman" w:ascii="Times New Roman" w:hAnsi="Times New Roman"/>
          <w:b/>
          <w:sz w:val="24"/>
          <w:szCs w:val="24"/>
          <w:lang w:val="en-US"/>
        </w:rPr>
      </w:r>
    </w:p>
    <w:p>
      <w:pPr>
        <w:pStyle w:val="NoSpacing"/>
        <w:jc w:val="both"/>
        <w:rPr>
          <w:rFonts w:ascii="Times New Roman" w:hAnsi="Times New Roman" w:cs="Times New Roman"/>
          <w:b/>
          <w:b/>
          <w:sz w:val="24"/>
          <w:szCs w:val="24"/>
          <w:lang w:val="en-US"/>
        </w:rPr>
      </w:pPr>
      <w:r>
        <w:rPr>
          <w:rFonts w:cs="Times New Roman" w:ascii="Times New Roman" w:hAnsi="Times New Roman"/>
          <w:b/>
          <w:sz w:val="24"/>
          <w:szCs w:val="24"/>
          <w:lang w:val="en-US"/>
        </w:rPr>
      </w:r>
    </w:p>
    <w:p>
      <w:pPr>
        <w:pStyle w:val="NoSpacing"/>
        <w:jc w:val="both"/>
        <w:rPr>
          <w:rFonts w:ascii="Times New Roman" w:hAnsi="Times New Roman" w:cs="Times New Roman"/>
          <w:b/>
          <w:b/>
          <w:sz w:val="24"/>
          <w:szCs w:val="24"/>
          <w:lang w:val="en-US"/>
        </w:rPr>
      </w:pPr>
      <w:r>
        <w:rPr>
          <w:rFonts w:cs="Times New Roman" w:ascii="Times New Roman" w:hAnsi="Times New Roman"/>
          <w:b/>
          <w:sz w:val="24"/>
          <w:szCs w:val="24"/>
          <w:lang w:val="en-US"/>
        </w:rPr>
      </w:r>
    </w:p>
    <w:p>
      <w:pPr>
        <w:pStyle w:val="NoSpacing"/>
        <w:jc w:val="both"/>
        <w:rPr>
          <w:rFonts w:ascii="Times New Roman" w:hAnsi="Times New Roman" w:cs="Times New Roman"/>
          <w:b/>
          <w:b/>
          <w:sz w:val="24"/>
          <w:szCs w:val="24"/>
          <w:lang w:val="en-US"/>
        </w:rPr>
      </w:pPr>
      <w:r>
        <w:rPr>
          <w:rFonts w:cs="Times New Roman" w:ascii="Times New Roman" w:hAnsi="Times New Roman"/>
          <w:b/>
          <w:sz w:val="24"/>
          <w:szCs w:val="24"/>
          <w:lang w:val="en-US"/>
        </w:rPr>
      </w:r>
    </w:p>
    <w:p>
      <w:pPr>
        <w:pStyle w:val="NoSpacing"/>
        <w:jc w:val="both"/>
        <w:rPr>
          <w:rFonts w:ascii="Times New Roman" w:hAnsi="Times New Roman" w:cs="Times New Roman"/>
          <w:b/>
          <w:b/>
          <w:sz w:val="24"/>
          <w:szCs w:val="24"/>
          <w:lang w:val="en-US"/>
        </w:rPr>
      </w:pPr>
      <w:r>
        <w:rPr>
          <w:rFonts w:cs="Times New Roman" w:ascii="Times New Roman" w:hAnsi="Times New Roman"/>
          <w:b/>
          <w:sz w:val="24"/>
          <w:szCs w:val="24"/>
          <w:lang w:val="en-US"/>
        </w:rPr>
      </w:r>
    </w:p>
    <w:p>
      <w:pPr>
        <w:pStyle w:val="NoSpacing"/>
        <w:jc w:val="both"/>
        <w:rPr>
          <w:rFonts w:ascii="Times New Roman" w:hAnsi="Times New Roman" w:cs="Times New Roman"/>
          <w:b/>
          <w:b/>
          <w:sz w:val="24"/>
          <w:szCs w:val="24"/>
          <w:lang w:val="en-US"/>
        </w:rPr>
      </w:pPr>
      <w:r>
        <w:rPr>
          <w:rFonts w:cs="Times New Roman" w:ascii="Times New Roman" w:hAnsi="Times New Roman"/>
          <w:b/>
          <w:sz w:val="24"/>
          <w:szCs w:val="24"/>
          <w:lang w:val="en-US"/>
        </w:rPr>
      </w:r>
    </w:p>
    <w:p>
      <w:pPr>
        <w:pStyle w:val="NoSpacing"/>
        <w:jc w:val="both"/>
        <w:rPr>
          <w:rFonts w:ascii="Times New Roman" w:hAnsi="Times New Roman" w:cs="Times New Roman"/>
          <w:b/>
          <w:b/>
          <w:sz w:val="24"/>
          <w:szCs w:val="24"/>
          <w:lang w:val="en-US"/>
        </w:rPr>
      </w:pPr>
      <w:r>
        <w:rPr>
          <w:rFonts w:cs="Times New Roman" w:ascii="Times New Roman" w:hAnsi="Times New Roman"/>
          <w:b/>
          <w:sz w:val="24"/>
          <w:szCs w:val="24"/>
          <w:lang w:val="en-US"/>
        </w:rPr>
      </w:r>
    </w:p>
    <w:p>
      <w:pPr>
        <w:pStyle w:val="NoSpacing"/>
        <w:jc w:val="both"/>
        <w:rPr>
          <w:rFonts w:ascii="Times New Roman" w:hAnsi="Times New Roman" w:cs="Times New Roman"/>
          <w:b/>
          <w:b/>
          <w:sz w:val="24"/>
          <w:szCs w:val="24"/>
          <w:lang w:val="en-US"/>
        </w:rPr>
      </w:pPr>
      <w:r>
        <w:rPr>
          <w:rFonts w:cs="Times New Roman" w:ascii="Times New Roman" w:hAnsi="Times New Roman"/>
          <w:b/>
          <w:sz w:val="24"/>
          <w:szCs w:val="24"/>
          <w:lang w:val="en-US"/>
        </w:rPr>
      </w:r>
    </w:p>
    <w:p>
      <w:pPr>
        <w:pStyle w:val="NoSpacing"/>
        <w:jc w:val="both"/>
        <w:rPr>
          <w:rFonts w:ascii="Times New Roman" w:hAnsi="Times New Roman" w:cs="Times New Roman"/>
          <w:b/>
          <w:b/>
          <w:sz w:val="24"/>
          <w:szCs w:val="24"/>
          <w:highlight w:val="yellow"/>
          <w:lang w:val="en-US"/>
        </w:rPr>
      </w:pPr>
      <w:r>
        <w:rPr>
          <w:rFonts w:cs="Times New Roman" w:ascii="Times New Roman" w:hAnsi="Times New Roman"/>
          <w:b/>
          <w:sz w:val="24"/>
          <w:szCs w:val="24"/>
          <w:highlight w:val="yellow"/>
          <w:lang w:val="en-US"/>
        </w:rPr>
      </w:r>
    </w:p>
    <w:p>
      <w:pPr>
        <w:pStyle w:val="NoSpacing"/>
        <w:jc w:val="both"/>
        <w:rPr>
          <w:rFonts w:ascii="Times New Roman" w:hAnsi="Times New Roman" w:cs="Times New Roman"/>
          <w:b/>
          <w:b/>
          <w:sz w:val="24"/>
          <w:szCs w:val="24"/>
          <w:highlight w:val="yellow"/>
          <w:lang w:val="en-US"/>
        </w:rPr>
      </w:pPr>
      <w:r>
        <w:rPr>
          <w:rFonts w:cs="Times New Roman" w:ascii="Times New Roman" w:hAnsi="Times New Roman"/>
          <w:b/>
          <w:sz w:val="24"/>
          <w:szCs w:val="24"/>
          <w:highlight w:val="yellow"/>
          <w:lang w:val="en-US"/>
        </w:rPr>
      </w:r>
    </w:p>
    <w:p>
      <w:pPr>
        <w:pStyle w:val="NoSpacing"/>
        <w:jc w:val="both"/>
        <w:rPr>
          <w:rFonts w:ascii="Times New Roman" w:hAnsi="Times New Roman" w:cs="Times New Roman"/>
          <w:b/>
          <w:b/>
          <w:sz w:val="24"/>
          <w:szCs w:val="24"/>
          <w:highlight w:val="yellow"/>
          <w:lang w:val="en-US"/>
        </w:rPr>
      </w:pPr>
      <w:r>
        <w:rPr>
          <w:rFonts w:cs="Times New Roman" w:ascii="Times New Roman" w:hAnsi="Times New Roman"/>
          <w:b/>
          <w:sz w:val="24"/>
          <w:szCs w:val="24"/>
          <w:highlight w:val="yellow"/>
          <w:lang w:val="en-US"/>
        </w:rPr>
      </w:r>
    </w:p>
    <w:p>
      <w:pPr>
        <w:pStyle w:val="NoSpacing"/>
        <w:jc w:val="both"/>
        <w:rPr>
          <w:rFonts w:ascii="Times New Roman" w:hAnsi="Times New Roman" w:cs="Times New Roman"/>
          <w:b/>
          <w:b/>
          <w:sz w:val="24"/>
          <w:szCs w:val="24"/>
          <w:highlight w:val="yellow"/>
          <w:lang w:val="en-US"/>
        </w:rPr>
      </w:pPr>
      <w:r>
        <w:rPr>
          <w:rFonts w:cs="Times New Roman" w:ascii="Times New Roman" w:hAnsi="Times New Roman"/>
          <w:b/>
          <w:sz w:val="24"/>
          <w:szCs w:val="24"/>
          <w:highlight w:val="yellow"/>
          <w:lang w:val="en-US"/>
        </w:rPr>
      </w:r>
    </w:p>
    <w:p>
      <w:pPr>
        <w:pStyle w:val="NoSpacing"/>
        <w:jc w:val="both"/>
        <w:rPr>
          <w:rFonts w:ascii="Times New Roman" w:hAnsi="Times New Roman" w:cs="Times New Roman"/>
          <w:b/>
          <w:b/>
          <w:sz w:val="24"/>
          <w:szCs w:val="24"/>
          <w:highlight w:val="yellow"/>
          <w:lang w:val="en-US"/>
        </w:rPr>
      </w:pPr>
      <w:r>
        <w:rPr>
          <w:rFonts w:cs="Times New Roman" w:ascii="Times New Roman" w:hAnsi="Times New Roman"/>
          <w:b/>
          <w:sz w:val="24"/>
          <w:szCs w:val="24"/>
          <w:highlight w:val="yellow"/>
          <w:lang w:val="en-US"/>
        </w:rPr>
      </w:r>
    </w:p>
    <w:p>
      <w:pPr>
        <w:pStyle w:val="NoSpacing"/>
        <w:jc w:val="both"/>
        <w:rPr>
          <w:rFonts w:ascii="Times New Roman" w:hAnsi="Times New Roman" w:cs="Times New Roman"/>
          <w:b/>
          <w:b/>
          <w:sz w:val="24"/>
          <w:szCs w:val="24"/>
          <w:lang w:val="en-US"/>
        </w:rPr>
      </w:pPr>
      <w:r>
        <w:rPr>
          <w:rFonts w:cs="Times New Roman" w:ascii="Times New Roman" w:hAnsi="Times New Roman"/>
          <w:b/>
          <w:sz w:val="24"/>
          <w:szCs w:val="24"/>
          <w:lang w:val="en-US"/>
        </w:rPr>
      </w:r>
    </w:p>
    <w:p>
      <w:pPr>
        <w:pStyle w:val="NoSpacing"/>
        <w:jc w:val="both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NoSpacing"/>
        <w:jc w:val="both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NoSpacing"/>
        <w:jc w:val="both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NoSpacing"/>
        <w:jc w:val="both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NoSpacing"/>
        <w:jc w:val="both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NoSpacing"/>
        <w:jc w:val="both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NoSpacing"/>
        <w:jc w:val="both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NoSpacing"/>
        <w:jc w:val="both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NoSpacing"/>
        <w:jc w:val="both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NoSpacing"/>
        <w:jc w:val="both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NoSpacing"/>
        <w:jc w:val="both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NoSpacing"/>
        <w:jc w:val="both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NoSpacing"/>
        <w:jc w:val="both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NoSpacing"/>
        <w:jc w:val="both"/>
        <w:rPr/>
      </w:pPr>
      <w:r>
        <w:rPr/>
      </w:r>
    </w:p>
    <w:sectPr>
      <w:headerReference w:type="default" r:id="rId6"/>
      <w:type w:val="nextPage"/>
      <w:pgSz w:w="11906" w:h="16838"/>
      <w:pgMar w:left="993" w:right="849" w:header="708" w:top="765" w:footer="0" w:bottom="851" w:gutter="0"/>
      <w:pgNumType w:fmt="decimal"/>
      <w:formProt w:val="false"/>
      <w:textDirection w:val="lrTb"/>
      <w:docGrid w:type="default" w:linePitch="360" w:charSpace="42949652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Cambria">
    <w:charset w:val="cc"/>
    <w:family w:val="roman"/>
    <w:pitch w:val="variable"/>
  </w:font>
  <w:font w:name="Tahoma">
    <w:charset w:val="cc"/>
    <w:family w:val="roman"/>
    <w:pitch w:val="variable"/>
  </w:font>
  <w:font w:name="Times New Roman">
    <w:charset w:val="cc"/>
    <w:family w:val="roman"/>
    <w:pitch w:val="variable"/>
  </w:font>
  <w:font w:name="Liberation Sans">
    <w:altName w:val="Arial"/>
    <w:charset w:val="cc"/>
    <w:family w:val="swiss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23"/>
      <w:jc w:val="center"/>
      <w:rPr>
        <w:rFonts w:ascii="Times New Roman" w:hAnsi="Times New Roman" w:cs="Times New Roman"/>
        <w:sz w:val="24"/>
        <w:szCs w:val="24"/>
      </w:rPr>
    </w:pPr>
    <w:r>
      <w:rPr/>
      <w:drawing>
        <wp:inline distT="0" distB="0" distL="0" distR="6985">
          <wp:extent cx="641350" cy="600075"/>
          <wp:effectExtent l="0" t="0" r="0" b="0"/>
          <wp:docPr id="1" name="Рисунок 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Рисунок 1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1350" cy="6000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>
    <w:pPr>
      <w:pStyle w:val="Style23"/>
      <w:jc w:val="center"/>
      <w:rPr/>
    </w:pPr>
    <w:r>
      <w:rPr>
        <w:rFonts w:cs="Times New Roman" w:ascii="Times New Roman" w:hAnsi="Times New Roman"/>
        <w:sz w:val="24"/>
        <w:szCs w:val="24"/>
      </w:rPr>
      <w:t>Отделение Социального фонда России по Кабардино-Балкарской Республике</w:t>
    </w:r>
  </w:p>
</w:hdr>
</file>

<file path=word/settings.xml><?xml version="1.0" encoding="utf-8"?>
<w:settings xmlns:w="http://schemas.openxmlformats.org/wordprocessingml/2006/main">
  <w:zoom w:percent="160"/>
  <w:defaultTabStop w:val="708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pacing w:lineRule="auto" w:line="276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Normal (Web)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03c04"/>
    <w:pPr>
      <w:widowControl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sz w:val="22"/>
      <w:szCs w:val="22"/>
      <w:lang w:val="ru-RU" w:eastAsia="en-US" w:bidi="ar-SA"/>
    </w:rPr>
  </w:style>
  <w:style w:type="paragraph" w:styleId="1">
    <w:name w:val="Заголовок 1"/>
    <w:basedOn w:val="Normal"/>
    <w:link w:val="10"/>
    <w:uiPriority w:val="9"/>
    <w:qFormat/>
    <w:rsid w:val="005326fc"/>
    <w:pPr>
      <w:keepNext/>
      <w:keepLines/>
      <w:spacing w:before="480" w:after="0"/>
      <w:outlineLvl w:val="0"/>
    </w:pPr>
    <w:rPr>
      <w:rFonts w:ascii="Cambria" w:hAnsi="Cambria" w:eastAsia="" w:cs="" w:asciiTheme="majorHAnsi" w:cstheme="majorBidi" w:eastAsiaTheme="majorEastAsia" w:hAnsiTheme="majorHAnsi"/>
      <w:b/>
      <w:bCs/>
      <w:color w:val="365F91" w:themeColor="accent1" w:themeShade="bf"/>
      <w:sz w:val="28"/>
      <w:szCs w:val="28"/>
    </w:rPr>
  </w:style>
  <w:style w:type="paragraph" w:styleId="2">
    <w:name w:val="Заголовок 2"/>
    <w:basedOn w:val="Normal"/>
    <w:link w:val="20"/>
    <w:uiPriority w:val="9"/>
    <w:unhideWhenUsed/>
    <w:qFormat/>
    <w:rsid w:val="000f1fd4"/>
    <w:pPr>
      <w:keepNext/>
      <w:keepLines/>
      <w:spacing w:before="200" w:after="0"/>
      <w:outlineLvl w:val="1"/>
    </w:pPr>
    <w:rPr>
      <w:rFonts w:ascii="Cambria" w:hAnsi="Cambria" w:eastAsia="" w:cs=""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paragraph" w:styleId="3">
    <w:name w:val="Заголовок 3"/>
    <w:basedOn w:val="Style18"/>
    <w:pPr/>
    <w:rPr/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exthighlight" w:customStyle="1">
    <w:name w:val="text-highlight"/>
    <w:basedOn w:val="DefaultParagraphFont"/>
    <w:qFormat/>
    <w:rsid w:val="00b45f50"/>
    <w:rPr/>
  </w:style>
  <w:style w:type="character" w:styleId="Style11">
    <w:name w:val="Интернет-ссылка"/>
    <w:basedOn w:val="DefaultParagraphFont"/>
    <w:uiPriority w:val="99"/>
    <w:unhideWhenUsed/>
    <w:rsid w:val="000b2834"/>
    <w:rPr>
      <w:color w:val="0000FF" w:themeColor="hyperlink"/>
      <w:u w:val="single"/>
    </w:rPr>
  </w:style>
  <w:style w:type="character" w:styleId="Style12" w:customStyle="1">
    <w:name w:val="Текст выноски Знак"/>
    <w:basedOn w:val="DefaultParagraphFont"/>
    <w:link w:val="a6"/>
    <w:uiPriority w:val="99"/>
    <w:semiHidden/>
    <w:qFormat/>
    <w:rsid w:val="008b29a9"/>
    <w:rPr>
      <w:rFonts w:ascii="Tahoma" w:hAnsi="Tahoma" w:cs="Tahoma"/>
      <w:sz w:val="16"/>
      <w:szCs w:val="16"/>
    </w:rPr>
  </w:style>
  <w:style w:type="character" w:styleId="Style13" w:customStyle="1">
    <w:name w:val="Верхний колонтитул Знак"/>
    <w:basedOn w:val="DefaultParagraphFont"/>
    <w:link w:val="a8"/>
    <w:uiPriority w:val="99"/>
    <w:qFormat/>
    <w:rsid w:val="00ab58f0"/>
    <w:rPr/>
  </w:style>
  <w:style w:type="character" w:styleId="Style14" w:customStyle="1">
    <w:name w:val="Нижний колонтитул Знак"/>
    <w:basedOn w:val="DefaultParagraphFont"/>
    <w:link w:val="aa"/>
    <w:uiPriority w:val="99"/>
    <w:qFormat/>
    <w:rsid w:val="00ab58f0"/>
    <w:rPr/>
  </w:style>
  <w:style w:type="character" w:styleId="21" w:customStyle="1">
    <w:name w:val="Заголовок 2 Знак"/>
    <w:basedOn w:val="DefaultParagraphFont"/>
    <w:link w:val="2"/>
    <w:uiPriority w:val="9"/>
    <w:qFormat/>
    <w:rsid w:val="000f1fd4"/>
    <w:rPr>
      <w:rFonts w:ascii="Cambria" w:hAnsi="Cambria" w:eastAsia="" w:cs=""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character" w:styleId="Style15" w:customStyle="1">
    <w:name w:val="Название Знак"/>
    <w:basedOn w:val="DefaultParagraphFont"/>
    <w:link w:val="ac"/>
    <w:uiPriority w:val="10"/>
    <w:qFormat/>
    <w:rsid w:val="000f1fd4"/>
    <w:rPr>
      <w:rFonts w:ascii="Cambria" w:hAnsi="Cambria" w:eastAsia="" w:cs="" w:asciiTheme="majorHAnsi" w:cstheme="majorBidi" w:eastAsiaTheme="majorEastAsia" w:hAnsiTheme="majorHAnsi"/>
      <w:color w:val="17365D" w:themeColor="text2" w:themeShade="bf"/>
      <w:spacing w:val="5"/>
      <w:sz w:val="52"/>
      <w:szCs w:val="52"/>
    </w:rPr>
  </w:style>
  <w:style w:type="character" w:styleId="Strong">
    <w:name w:val="Strong"/>
    <w:basedOn w:val="DefaultParagraphFont"/>
    <w:uiPriority w:val="22"/>
    <w:qFormat/>
    <w:rsid w:val="00a8400c"/>
    <w:rPr>
      <w:b/>
      <w:bCs/>
    </w:rPr>
  </w:style>
  <w:style w:type="character" w:styleId="Style16">
    <w:name w:val="Выделение"/>
    <w:basedOn w:val="DefaultParagraphFont"/>
    <w:uiPriority w:val="20"/>
    <w:qFormat/>
    <w:rsid w:val="00436e07"/>
    <w:rPr>
      <w:i/>
      <w:iCs/>
    </w:rPr>
  </w:style>
  <w:style w:type="character" w:styleId="FollowedHyperlink">
    <w:name w:val="FollowedHyperlink"/>
    <w:basedOn w:val="DefaultParagraphFont"/>
    <w:uiPriority w:val="99"/>
    <w:semiHidden/>
    <w:unhideWhenUsed/>
    <w:qFormat/>
    <w:rsid w:val="0020598d"/>
    <w:rPr>
      <w:color w:val="800080" w:themeColor="followedHyperlink"/>
      <w:u w:val="single"/>
    </w:rPr>
  </w:style>
  <w:style w:type="character" w:styleId="Matchingtexthighlight" w:customStyle="1">
    <w:name w:val="matching-text-highlight"/>
    <w:basedOn w:val="DefaultParagraphFont"/>
    <w:qFormat/>
    <w:rsid w:val="005326fc"/>
    <w:rPr/>
  </w:style>
  <w:style w:type="character" w:styleId="11" w:customStyle="1">
    <w:name w:val="Заголовок 1 Знак"/>
    <w:basedOn w:val="DefaultParagraphFont"/>
    <w:link w:val="1"/>
    <w:uiPriority w:val="9"/>
    <w:qFormat/>
    <w:rsid w:val="005326fc"/>
    <w:rPr>
      <w:rFonts w:ascii="Cambria" w:hAnsi="Cambria" w:eastAsia="" w:cs="" w:asciiTheme="majorHAnsi" w:cstheme="majorBidi" w:eastAsiaTheme="majorEastAsia" w:hAnsiTheme="majorHAnsi"/>
      <w:b/>
      <w:bCs/>
      <w:color w:val="365F91" w:themeColor="accent1" w:themeShade="bf"/>
      <w:sz w:val="28"/>
      <w:szCs w:val="28"/>
    </w:rPr>
  </w:style>
  <w:style w:type="character" w:styleId="Style17" w:customStyle="1">
    <w:name w:val="Обычный (веб) Знак"/>
    <w:link w:val="a3"/>
    <w:uiPriority w:val="99"/>
    <w:qFormat/>
    <w:locked/>
    <w:rsid w:val="00532f5e"/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ListLabel1">
    <w:name w:val="ListLabel 1"/>
    <w:qFormat/>
    <w:rPr>
      <w:rFonts w:cs="Courier New"/>
    </w:rPr>
  </w:style>
  <w:style w:type="paragraph" w:styleId="Style18">
    <w:name w:val="Заголовок"/>
    <w:basedOn w:val="Normal"/>
    <w:next w:val="Style19"/>
    <w:qFormat/>
    <w:pPr>
      <w:keepNext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9">
    <w:name w:val="Основной текст"/>
    <w:basedOn w:val="Normal"/>
    <w:pPr>
      <w:spacing w:lineRule="auto" w:line="288" w:before="0" w:after="140"/>
    </w:pPr>
    <w:rPr/>
  </w:style>
  <w:style w:type="paragraph" w:styleId="Style20">
    <w:name w:val="Список"/>
    <w:basedOn w:val="Style19"/>
    <w:pPr/>
    <w:rPr>
      <w:rFonts w:cs="Mangal"/>
    </w:rPr>
  </w:style>
  <w:style w:type="paragraph" w:styleId="Style21">
    <w:name w:val="Название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2">
    <w:name w:val="Указатель"/>
    <w:basedOn w:val="Normal"/>
    <w:qFormat/>
    <w:pPr>
      <w:suppressLineNumbers/>
    </w:pPr>
    <w:rPr>
      <w:rFonts w:cs="Mangal"/>
    </w:rPr>
  </w:style>
  <w:style w:type="paragraph" w:styleId="NormalWeb">
    <w:name w:val="Normal (Web)"/>
    <w:basedOn w:val="Normal"/>
    <w:link w:val="a4"/>
    <w:uiPriority w:val="99"/>
    <w:unhideWhenUsed/>
    <w:qFormat/>
    <w:rsid w:val="00b45f50"/>
    <w:pPr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BalloonText">
    <w:name w:val="Balloon Text"/>
    <w:basedOn w:val="Normal"/>
    <w:link w:val="a7"/>
    <w:uiPriority w:val="99"/>
    <w:semiHidden/>
    <w:unhideWhenUsed/>
    <w:qFormat/>
    <w:rsid w:val="008b29a9"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Style23">
    <w:name w:val="Верхний колонтитул"/>
    <w:basedOn w:val="Normal"/>
    <w:link w:val="a9"/>
    <w:uiPriority w:val="99"/>
    <w:unhideWhenUsed/>
    <w:rsid w:val="00ab58f0"/>
    <w:pPr>
      <w:tabs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Style24">
    <w:name w:val="Нижний колонтитул"/>
    <w:basedOn w:val="Normal"/>
    <w:link w:val="ab"/>
    <w:uiPriority w:val="99"/>
    <w:unhideWhenUsed/>
    <w:rsid w:val="00ab58f0"/>
    <w:pPr>
      <w:tabs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Style25">
    <w:name w:val="Заглавие"/>
    <w:basedOn w:val="Normal"/>
    <w:link w:val="ad"/>
    <w:uiPriority w:val="10"/>
    <w:qFormat/>
    <w:rsid w:val="000f1fd4"/>
    <w:pPr>
      <w:pBdr>
        <w:bottom w:val="single" w:sz="8" w:space="4" w:color="4F81BD"/>
      </w:pBdr>
      <w:spacing w:lineRule="auto" w:line="240" w:before="0" w:after="300"/>
      <w:contextualSpacing/>
    </w:pPr>
    <w:rPr>
      <w:rFonts w:ascii="Cambria" w:hAnsi="Cambria" w:eastAsia="" w:cs="" w:asciiTheme="majorHAnsi" w:cstheme="majorBidi" w:eastAsiaTheme="majorEastAsia" w:hAnsiTheme="majorHAnsi"/>
      <w:color w:val="17365D" w:themeColor="text2" w:themeShade="bf"/>
      <w:spacing w:val="5"/>
      <w:sz w:val="52"/>
      <w:szCs w:val="52"/>
    </w:rPr>
  </w:style>
  <w:style w:type="paragraph" w:styleId="NormalIndent">
    <w:name w:val="Normal Indent"/>
    <w:basedOn w:val="Normal"/>
    <w:uiPriority w:val="99"/>
    <w:semiHidden/>
    <w:qFormat/>
    <w:rsid w:val="002f247c"/>
    <w:pPr>
      <w:spacing w:lineRule="auto" w:line="360" w:before="0" w:after="0"/>
      <w:ind w:firstLine="624"/>
      <w:jc w:val="both"/>
    </w:pPr>
    <w:rPr>
      <w:rFonts w:ascii="Times New Roman" w:hAnsi="Times New Roman" w:eastAsia="Times New Roman" w:cs="Times New Roman"/>
      <w:sz w:val="28"/>
      <w:szCs w:val="20"/>
    </w:rPr>
  </w:style>
  <w:style w:type="paragraph" w:styleId="NoSpacing">
    <w:name w:val="No Spacing"/>
    <w:uiPriority w:val="1"/>
    <w:qFormat/>
    <w:rsid w:val="001276c0"/>
    <w:pPr>
      <w:widowControl/>
      <w:bidi w:val="0"/>
      <w:spacing w:lineRule="auto" w:line="240" w:before="0" w:after="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sz w:val="22"/>
      <w:szCs w:val="22"/>
      <w:lang w:val="ru-RU" w:eastAsia="en-US" w:bidi="ar-SA"/>
    </w:rPr>
  </w:style>
  <w:style w:type="paragraph" w:styleId="Style26">
    <w:name w:val="Блочная цитата"/>
    <w:basedOn w:val="Normal"/>
    <w:qFormat/>
    <w:pPr/>
    <w:rPr/>
  </w:style>
  <w:style w:type="paragraph" w:styleId="Style27">
    <w:name w:val="Подзаголовок"/>
    <w:basedOn w:val="Style18"/>
    <w:pPr/>
    <w:rPr/>
  </w:style>
  <w:style w:type="numbering" w:styleId="NoList" w:default="1">
    <w:name w:val="No List"/>
    <w:uiPriority w:val="99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s://vk.com/sfrpokbr" TargetMode="External"/><Relationship Id="rId3" Type="http://schemas.openxmlformats.org/officeDocument/2006/relationships/hyperlink" Target="https://ok.ru/group/70000002358769" TargetMode="External"/><Relationship Id="rId4" Type="http://schemas.openxmlformats.org/officeDocument/2006/relationships/hyperlink" Target="https://vk.com/away.php?to=https%3A%2F%2Ft.me%2Fsfr_po_kbr_07&amp;utf=1" TargetMode="External"/><Relationship Id="rId5" Type="http://schemas.openxmlformats.org/officeDocument/2006/relationships/hyperlink" Target="mailto:sfrkbr@07.sfr.gov.ru" TargetMode="External"/><Relationship Id="rId6" Type="http://schemas.openxmlformats.org/officeDocument/2006/relationships/header" Target="header1.xml"/><Relationship Id="rId7" Type="http://schemas.openxmlformats.org/officeDocument/2006/relationships/fontTable" Target="fontTable.xml"/><Relationship Id="rId8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customXml" Target="../customXml/item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6D526A-69EA-481A-9BDC-8DF5620D58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Application>LibreOffice/5.0.0.5$Windows_X86_64 LibreOffice_project/1b1a90865e348b492231e1c451437d7a15bb262b</Application>
  <Paragraphs>21</Paragraphs>
  <Company>Kraftway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2025-04-09T10:17:00Z</dcterms:created>
  <dc:creator>Зарета Алоева</dc:creator>
  <dc:language>ru-RU</dc:language>
  <cp:lastModifiedBy>Бербекова Зарема Тимуровна</cp:lastModifiedBy>
  <cp:lastPrinted>2025-04-09T09:33:00Z</cp:lastPrinted>
  <dcterms:modified xsi:type="dcterms:W3CDTF">2025-04-09T10:17:00Z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Kraftway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